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D" w:rsidRPr="009E152D" w:rsidRDefault="000949CD" w:rsidP="009E1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52D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образовательных достижений. Результаты мониторинга </w:t>
      </w:r>
      <w:proofErr w:type="spellStart"/>
      <w:r w:rsidRPr="009E152D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9E152D">
        <w:rPr>
          <w:rFonts w:ascii="Times New Roman" w:hAnsi="Times New Roman" w:cs="Times New Roman"/>
          <w:b/>
          <w:bCs/>
          <w:sz w:val="28"/>
          <w:szCs w:val="28"/>
        </w:rPr>
        <w:t xml:space="preserve"> и личностных достижений.</w:t>
      </w: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ФГОС ООП требования к образовательным результатам определяются как самостоятельная педагогическая категория и выступают в качестве критериев оценки образовательных достижений школьников.</w:t>
      </w: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оцениванию подвергаются не только учебные достижения, но и творчество, и личная инициатива ребёнка в школьной жизни. </w:t>
      </w:r>
      <w:proofErr w:type="spellStart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требует профессионализма, сил, времени, желания педагога работать  в режиме комплексной итоговой оценки, она должна быть объективной и дифференцированной. Необходимо детей научить оценивать свои действия, их результаты, своё продвижение вперёд. Способность контролировать и оценивать свои действия создаёт мотивацию для самостоятельного совершенствования своих действий, возрастёт и познавательная активность детей.</w:t>
      </w:r>
    </w:p>
    <w:p w:rsidR="000949CD" w:rsidRPr="009E152D" w:rsidRDefault="000949CD" w:rsidP="009E15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содержит чёткие требования к системе оценки достижения планируемых результатов.</w:t>
      </w:r>
    </w:p>
    <w:p w:rsidR="000949CD" w:rsidRPr="009E152D" w:rsidRDefault="000949CD" w:rsidP="009E15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оценочной деятельности является ориентирование ученика на  достижение результатов:</w:t>
      </w:r>
    </w:p>
    <w:p w:rsidR="000949CD" w:rsidRPr="009E152D" w:rsidRDefault="000949CD" w:rsidP="009E152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духовно-нравственном развитии и воспитании (личностные результаты)</w:t>
      </w:r>
    </w:p>
    <w:p w:rsidR="000949CD" w:rsidRPr="009E152D" w:rsidRDefault="000949CD" w:rsidP="009E152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учебных универсальных действий (</w:t>
      </w:r>
      <w:proofErr w:type="spellStart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результаты)</w:t>
      </w:r>
    </w:p>
    <w:p w:rsidR="000949CD" w:rsidRPr="009E152D" w:rsidRDefault="000949CD" w:rsidP="009E152D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освоении результатов учебных предметов (предметные результаты).</w:t>
      </w:r>
    </w:p>
    <w:p w:rsidR="000949CD" w:rsidRPr="009E152D" w:rsidRDefault="000949CD" w:rsidP="009E15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ученика – это действия (умения) по использованию знаний в ходе решения задач. Отдельные действия, прежде всего, успешные, достойны оценки (словесной характеристики), а решение полноценной задачи – оценки и отметки.</w:t>
      </w:r>
    </w:p>
    <w:p w:rsidR="000949CD" w:rsidRPr="009E152D" w:rsidRDefault="000949CD" w:rsidP="009E1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Оценивания предметных результатов.</w:t>
      </w:r>
    </w:p>
    <w:p w:rsidR="000949CD" w:rsidRPr="009E152D" w:rsidRDefault="000949CD" w:rsidP="009E152D">
      <w:pPr>
        <w:jc w:val="both"/>
        <w:rPr>
          <w:rFonts w:ascii="Times New Roman" w:hAnsi="Times New Roman" w:cs="Times New Roman"/>
          <w:sz w:val="28"/>
          <w:szCs w:val="28"/>
        </w:rPr>
      </w:pPr>
      <w:r w:rsidRPr="009E152D">
        <w:rPr>
          <w:rFonts w:ascii="Times New Roman" w:hAnsi="Times New Roman" w:cs="Times New Roman"/>
          <w:sz w:val="28"/>
          <w:szCs w:val="28"/>
        </w:rPr>
        <w:t xml:space="preserve">Диагностирование включает в себя контроль, проверку, оценивание, накопление данных об уровне знаний и </w:t>
      </w:r>
      <w:proofErr w:type="spellStart"/>
      <w:r w:rsidRPr="009E152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E152D">
        <w:rPr>
          <w:rFonts w:ascii="Times New Roman" w:hAnsi="Times New Roman" w:cs="Times New Roman"/>
          <w:sz w:val="28"/>
          <w:szCs w:val="28"/>
        </w:rPr>
        <w:t xml:space="preserve"> учащихся, их анализ, выявление динамики, тенденций, прогнозирование дальнейшего развития событий, умение корректировать работу с учащимися. Система контроля и оценивания деятельности учащихся предусматривает сочетание внешнего контроля с взаимоконтролем и самоконтролем, поэтапный контроль каждого, посильность требований, открытые перспективы для исправления, гласность результатов, снятие страха перед низкой отметкой, возможность пересдать тему, контрольную работу.</w:t>
      </w:r>
    </w:p>
    <w:p w:rsidR="000949CD" w:rsidRPr="009E152D" w:rsidRDefault="000949CD" w:rsidP="009E152D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52D">
        <w:rPr>
          <w:rFonts w:ascii="Times New Roman" w:hAnsi="Times New Roman" w:cs="Times New Roman"/>
          <w:sz w:val="28"/>
          <w:szCs w:val="28"/>
        </w:rPr>
        <w:lastRenderedPageBreak/>
        <w:t>Способы оценки: устный контроль (индивидуальный, фронтальный, групповой, взаимный опрос и т.д.), письменный контроль (исторический диктант, самостоятельные работы, практические работы, работа с печатной тетрадью на уроке, вариантные и разно уровневые контрольные работы), тестовый контроль, игровой контроль (творческие задания, кроссворды, тексты с ошибками, составление тестов дома, проектные работы, нетрадиционные уроки).</w:t>
      </w:r>
      <w:proofErr w:type="gramEnd"/>
      <w:r w:rsidRPr="009E152D">
        <w:rPr>
          <w:rFonts w:ascii="Times New Roman" w:hAnsi="Times New Roman" w:cs="Times New Roman"/>
          <w:sz w:val="28"/>
          <w:szCs w:val="28"/>
        </w:rPr>
        <w:t xml:space="preserve"> В выпускных классах выполняем задания по образцу ГИА и ЕГЭ, в том числе онлай</w:t>
      </w:r>
      <w:proofErr w:type="gramStart"/>
      <w:r w:rsidRPr="009E152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E152D">
        <w:rPr>
          <w:rFonts w:ascii="Times New Roman" w:hAnsi="Times New Roman" w:cs="Times New Roman"/>
          <w:sz w:val="28"/>
          <w:szCs w:val="28"/>
        </w:rPr>
        <w:t xml:space="preserve"> тесты, которые ребята решают в домашних условиях,  на консультациях, порой практикую домашние контрольные работы.</w:t>
      </w:r>
    </w:p>
    <w:p w:rsidR="000949CD" w:rsidRPr="009E152D" w:rsidRDefault="009E152D" w:rsidP="009E152D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2D">
        <w:rPr>
          <w:rFonts w:ascii="Times New Roman" w:hAnsi="Times New Roman" w:cs="Times New Roman"/>
          <w:sz w:val="28"/>
          <w:szCs w:val="28"/>
        </w:rPr>
        <w:t>Пример заполнения таблицы</w:t>
      </w:r>
    </w:p>
    <w:tbl>
      <w:tblPr>
        <w:tblStyle w:val="a3"/>
        <w:tblW w:w="8761" w:type="dxa"/>
        <w:tblInd w:w="-431" w:type="dxa"/>
        <w:tblLayout w:type="fixed"/>
        <w:tblLook w:val="04A0"/>
      </w:tblPr>
      <w:tblGrid>
        <w:gridCol w:w="851"/>
        <w:gridCol w:w="850"/>
        <w:gridCol w:w="822"/>
        <w:gridCol w:w="851"/>
        <w:gridCol w:w="709"/>
        <w:gridCol w:w="992"/>
        <w:gridCol w:w="851"/>
        <w:gridCol w:w="850"/>
        <w:gridCol w:w="993"/>
        <w:gridCol w:w="992"/>
      </w:tblGrid>
      <w:tr w:rsidR="000949CD" w:rsidRPr="009E152D" w:rsidTr="00993BF1">
        <w:trPr>
          <w:trHeight w:val="330"/>
        </w:trPr>
        <w:tc>
          <w:tcPr>
            <w:tcW w:w="851" w:type="dxa"/>
            <w:vMerge w:val="restart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годы</w:t>
            </w:r>
          </w:p>
        </w:tc>
        <w:tc>
          <w:tcPr>
            <w:tcW w:w="7910" w:type="dxa"/>
            <w:gridSpan w:val="9"/>
          </w:tcPr>
          <w:p w:rsidR="000949CD" w:rsidRPr="009E152D" w:rsidRDefault="000949CD" w:rsidP="009E152D">
            <w:pPr>
              <w:ind w:left="1485" w:hanging="14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Классы (указать свои классы)</w:t>
            </w:r>
          </w:p>
        </w:tc>
      </w:tr>
      <w:tr w:rsidR="000949CD" w:rsidRPr="009E152D" w:rsidTr="00993BF1">
        <w:trPr>
          <w:trHeight w:val="75"/>
        </w:trPr>
        <w:tc>
          <w:tcPr>
            <w:tcW w:w="851" w:type="dxa"/>
            <w:vMerge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gridSpan w:val="3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8а </w:t>
            </w:r>
            <w:proofErr w:type="spellStart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б  </w:t>
            </w:r>
            <w:proofErr w:type="spellStart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proofErr w:type="gramEnd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 </w:t>
            </w:r>
            <w:proofErr w:type="spellStart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E1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49CD" w:rsidRPr="009E152D" w:rsidTr="00993BF1">
        <w:trPr>
          <w:trHeight w:val="75"/>
        </w:trPr>
        <w:tc>
          <w:tcPr>
            <w:tcW w:w="851" w:type="dxa"/>
            <w:vMerge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ср. б</w:t>
            </w:r>
            <w:proofErr w:type="gramEnd"/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49CD" w:rsidRPr="009E152D" w:rsidTr="00993BF1">
        <w:trPr>
          <w:trHeight w:val="72"/>
        </w:trPr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949CD" w:rsidRPr="009E152D" w:rsidTr="00993BF1">
        <w:trPr>
          <w:trHeight w:val="72"/>
        </w:trPr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709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949CD" w:rsidRPr="009E152D" w:rsidRDefault="000949CD" w:rsidP="009E1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49CD" w:rsidRPr="009E152D" w:rsidRDefault="000949CD" w:rsidP="009E152D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CD" w:rsidRPr="009E152D" w:rsidRDefault="000949CD" w:rsidP="009E15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52D"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</w:t>
      </w: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школы являются  </w:t>
      </w:r>
      <w:proofErr w:type="spellStart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диагностические работы, составленные из </w:t>
      </w:r>
      <w:proofErr w:type="spellStart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компетентностных</w:t>
      </w:r>
      <w:proofErr w:type="spellEnd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 Новая и  диагностика результатов личностного развития, которая может проводиться в разных формах (диагностическая работа, результаты наблюдений и т.д.)</w:t>
      </w:r>
    </w:p>
    <w:p w:rsidR="000949CD" w:rsidRPr="009E152D" w:rsidRDefault="000949CD" w:rsidP="009E15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Привычная форма контроля в виде тестов, зачетов и контрольных работ дополняется новыми формами контроля результатов такими как:</w:t>
      </w:r>
    </w:p>
    <w:p w:rsidR="000949CD" w:rsidRPr="009E152D" w:rsidRDefault="000949CD" w:rsidP="009E152D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наблюдение (проявляемые учениками действия и качества по заданным параметрам);</w:t>
      </w:r>
    </w:p>
    <w:p w:rsidR="000949CD" w:rsidRPr="009E152D" w:rsidRDefault="000949CD" w:rsidP="009E152D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ученика по принятым формам;</w:t>
      </w:r>
    </w:p>
    <w:p w:rsidR="000949CD" w:rsidRPr="009E152D" w:rsidRDefault="000949CD" w:rsidP="009E152D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разнообразных учебных, </w:t>
      </w:r>
      <w:proofErr w:type="spellStart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внешкольных работ, достижений учеников;</w:t>
      </w:r>
    </w:p>
    <w:p w:rsidR="000949CD" w:rsidRPr="009E152D" w:rsidRDefault="000949CD" w:rsidP="000949C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учебных проектов.</w:t>
      </w:r>
    </w:p>
    <w:p w:rsidR="009E152D" w:rsidRDefault="000949CD" w:rsidP="000949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формы контроля направлены на поддержание успешности и мотивацию ученика, на обеспечение его психологической безопасности. У каждого должно быть право на индивидуальный образовательный маршрут, на свой темп освоения материала, что порой сложно реализовать на уроке.</w:t>
      </w:r>
    </w:p>
    <w:p w:rsidR="000949CD" w:rsidRPr="009E152D" w:rsidRDefault="000949CD" w:rsidP="000949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 </w:t>
      </w: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(может проводиться по следующим параметрам: отношение к деятельности на уроке, интенсивность усилий по выполнению поставленных задач, активность, умение ставить цели, планировать работу, способы организации работы и т.д.</w:t>
      </w:r>
      <w:proofErr w:type="gramEnd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наблюдений и после </w:t>
      </w:r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определенной фиксации ( на каждый урок могут предполагаться разные параметры для наблюдений, которые фиксируются, </w:t>
      </w:r>
      <w:proofErr w:type="gramStart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E1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«+» или «-») учитель может давать оценку, т.е. словесную характеристику результатов действий (молодец, оригинально, очень логично, здесь неточно, надо подумать и т.д.)</w:t>
      </w:r>
    </w:p>
    <w:p w:rsidR="000949CD" w:rsidRPr="009E152D" w:rsidRDefault="009E152D" w:rsidP="000949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Методики для определения  </w:t>
      </w:r>
    </w:p>
    <w:p w:rsidR="000949CD" w:rsidRPr="009E152D" w:rsidRDefault="009E152D" w:rsidP="000949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уровня</w:t>
      </w:r>
      <w:r w:rsidR="000949CD" w:rsidRPr="009E15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личностных  и </w:t>
      </w:r>
      <w:proofErr w:type="spellStart"/>
      <w:r w:rsidR="000949CD" w:rsidRPr="009E15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0949CD" w:rsidRPr="009E15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результатов освоения основной образовательной программы  учащимися</w:t>
      </w:r>
    </w:p>
    <w:p w:rsidR="009E152D" w:rsidRDefault="009E152D" w:rsidP="000949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5676" w:rsidRPr="00215676" w:rsidRDefault="00215676" w:rsidP="0021567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Методика    Александровской Э.М. 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предназначена для выявления эффективности учебной деятельности, успешности усвоения норм  поведения и  социальных контактов,  эмоционального благополучия сформированных  у младших школьников. Может быть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со школьниками 1-5 классов.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Оцениваемые УУД: 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действие </w:t>
      </w:r>
      <w:proofErr w:type="spell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смыслообразования</w:t>
      </w:r>
      <w:proofErr w:type="spell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самоопределения школьников.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Форма: 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методика (заполняется учителем).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  для  заполнения  учителем.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Класс----------------------число----------учитель------------------------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учебной деятельности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усвоения норм  поведения и  социальных контактов (уровень)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тревожности)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адаптации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(уровень)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всех показателей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  активность (уровень)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  мотивация (уровень)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15676" w:rsidRPr="00215676" w:rsidRDefault="00215676" w:rsidP="0007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  активность.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определение  уровня  познавательной  активности  учащихся.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(для учителя): ознакомьтесь  с  предлагаемыми  характеристиками  уровней ПА  и  соотнесите  эти  описания  с  тем,  как  проявляют  ученики вашего  класса  и  занесите  ваши  оценки  в  сводную  ведомость.</w:t>
      </w:r>
    </w:p>
    <w:p w:rsidR="00215676" w:rsidRPr="00215676" w:rsidRDefault="00215676" w:rsidP="00215676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(до10 баллов)  – учащийся  пассивен,  слабо  реагирует  на  требования учителя,  не проявляет  желания  к  самостоятельной  работе,  предпочитает  режим  давления  со  стороны  педагога.</w:t>
      </w:r>
    </w:p>
    <w:p w:rsidR="00215676" w:rsidRPr="00215676" w:rsidRDefault="00215676" w:rsidP="00215676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(от 11 до 17 баллов)  -  относительная  активность: активность  проявляется  лишь  в  определенных  учебных  ситуациях  (интересное  содержание  урока,  приемы  обучения и пр.),  определяется  в  основном  эмоциональным  восприятием.</w:t>
      </w:r>
    </w:p>
    <w:p w:rsidR="00215676" w:rsidRPr="00215676" w:rsidRDefault="00215676" w:rsidP="00215676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(от 18 до 24 баллов)  – привычно – исполнительская  активность: позиция  учащегося  обусловливается  не  только  эмоциональной  готовностью,  но  и  наработанными  привычными  приемами  учебных  действий,  что  обеспечивает  быстрое  восприятие  учебной  задачи  и  самостоятельность  в  ходе  ее  решения.</w:t>
      </w:r>
    </w:p>
    <w:p w:rsidR="00215676" w:rsidRPr="00215676" w:rsidRDefault="00215676" w:rsidP="00215676">
      <w:pPr>
        <w:numPr>
          <w:ilvl w:val="0"/>
          <w:numId w:val="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25 до 30 баллов) Уровень – творческая  активность: позиция  учащегося  характеризуется  готовностью  включиться  в  нестандартную  учебную  деятельность, учебную  ситуацию,  поиском  новых  сре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 дл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  ее  решения.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  учебной  мотивации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уровень (до10 баллов) –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Дети  не  справляются  с  учебной  деятельностью,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  проблемы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общении  с  одноклассниками,  во  взаимоотношениях  с учителем.  Могут  плакать  и  проситься  домой,  могут  проявлять  агрессию,  отказываться  от  выполнения  тех  или  иных  заданий.  Возможны  признаки  нарушения  нервно – психического здоровья.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2  уровень (от 11 до 15 баллов) - низкая  школьная  мотивация.  Посещают  школу  неохотно,  предпочитают  пропускать  занятия.  На  уроках  часто  занимаются  посторонними  делами,  играми.  Испытывают  серьезные затруднения в  учебной  деятельности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аходятся  в  состоянии  неустойчивой  адаптации  к  школе.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уровень (от 16 до 20 баллов)  положительное  отношение  к  школе.  Дети  достаточно  благополучно  чувствуют  себя  в  школе,  хотя  школа  привлекает  больше  внеурочными  делами.  Им  нравиться  ощущать  себя  учениками,  иметь  красивые  школьные  принадлежности.  Познавательные  мотивы  таких  детей  сформированы  в  меньшей  степени  и  учебный  процесс  мало  привлекает,  ходят  в  школу,  чтобы  пообщаться  с  друзьями  и  учителем.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уровень (от 21 до 25 баллов) – хорошая  школьная  мотивация.  Успешно  справляются  с учебной  деятельностью.  Положительно  воспринимают  и  хорошо  усваивают  школьные  нормы  и  правила.  Имеют  хороший  уровень  общения  с  одноклассниками  и  учителем.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уровень (от 26 до 30 баллов) – высокий  уровень  мотивации.  Дети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  наличием  высоки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познавательных  мотивов,  стремлением  наиболее успешно выполнять  все  предъявляемые  школой  требования.   Следуют  указаниям  учителя,  добросовестны,  ответственны,  сильно  переживают,  если  получат  замечания  педагога  или  низкую  оценку.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Эмоциональное  благополучие  (уровень  тревожности)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 (до10 баллов) – проявление  страхов:  страха  самовыражения (негативные  эмоциональные  переживания  ситуаций,  связанных  с  необходимостью  самораскрытия,  предъявления  себя  другим,  демонстрации  своих  возможностей);  страха ситуации  проверки  знаний  и  страхи  в  отношения  с  учителем (особенно  публично);  страха  не  соответствовать  ожиданиям  окружающих (ориентация  на  значимость  других в  оценке  своих  результатов).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уровень (от 11 до 20 баллов) – переживание  и  низкая  сопротивляемость  стрессу (особенности  психофизической  организации,  снижение  приспособляемости  к  ситуациям  </w:t>
      </w:r>
      <w:proofErr w:type="spell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стрессогенного</w:t>
      </w:r>
      <w:proofErr w:type="spell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характера,  повышенная  тревожность, социальные  конфликты  со  сверстниками).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уровень (от 21 до 30 баллов) – общая  школьная  тревожность (общее  эмоциональное состояние  ребенка,  связанное  с  различными  формами  его  включения  в  жизнь  школы).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Успешность  усвоения  норм  поведения  и  социальные  контакты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уровень (до10 баллов) –  у  ребенка  наблюдается  неуверенность  в  себе,  ищет  опеки.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Тревожен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нормы  поведения  не  обсуждает, чаще  подавлен,  легко  драматизирует  ситуацию.  Замкнут,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послушно-безразличен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созерцатель.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–уровень (от 11 до 20 баллов) -  ребенок  активен,  имеет  бойцовские  качества,  стремится  общаться  со  всеми  на  равных.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Конфликтен,  вспыльчив,  бурно  реагирует  на  запрет  или  замечание.</w:t>
      </w:r>
      <w:proofErr w:type="gramEnd"/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 уровень (от 21 до 30 баллов) – мирный,  дисциплинированный,  ответственный.  Дружбу  не  навязывает,  но  и  не  отвергает.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нормы  поведения  принимает  и  выполняет.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 адаптации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1 -4  (от 0 до 40 баллов) -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5 -8 (от 41 до 60 баллов)  -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8 -12  (от 61 до 80 баллов) - 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13 (от 81)  и  выше  -  хороший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Опросник</w:t>
      </w:r>
      <w:proofErr w:type="spellEnd"/>
      <w:r w:rsidRPr="00215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56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proofErr w:type="spellStart"/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</w:t>
      </w:r>
      <w:proofErr w:type="spell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мотивационных предпочтений в учебной деятельности.  Может быть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со школьниками 2-5 классов.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Оцениваемые УУД: 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действие </w:t>
      </w:r>
      <w:proofErr w:type="spell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смыслообразования</w:t>
      </w:r>
      <w:proofErr w:type="spell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направленное на установление смысла учебной деятельности для учащегося.</w:t>
      </w:r>
      <w:proofErr w:type="gramEnd"/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Форма: 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оценивания: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27 высказываний, объединенных в 9 шкал:  1 - отметка,  2 – социальная мотивация одобрения - требования авторитетных лиц (стремление заслужить одобрение или избежать наказания), 3 – познавательная мотивация; 4 – учебная мотивация, 5 – широкие социальные мотивы;  6 - мотивация самоопределения в социальном аспекте;  </w:t>
      </w: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п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рагматическая внешняя утилитарная мотивация; 8 – социальная мотивация – позиционный мотив;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– отрицательное отношение к школе.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Ниже приведены высказывания, соответствующие каждой из перечисленных шкал.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Отметка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отличником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хорошо закончить школу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хорошие отметки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Социальная мотивация одобрения - Требования авторитетных лиц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родители не ругали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этого требуют учителя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родителям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3.Познавательная мотивация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учиться интересно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 уроках я узнаю много нового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школе я получаю ответы на интересующие меня вопросы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Учебная мотивация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знания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развивать ум и способности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образованным человеком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proofErr w:type="gramStart"/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</w:t>
      </w:r>
      <w:proofErr w:type="gramEnd"/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широкие социальные мотивы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будущем приносить людям пользу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хорошо учиться – долг каждого ученика перед обществом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учение самое важное и нужное дело в моей жизни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6.Мотивация самоопределения в социальном аспекте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продолжить образование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интересную профессию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будущем найти хорошую работу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Прагматическая внешняя утилитарная мотивация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дальнейшем хорошо зарабатывать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подарок за хорошую учебу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меня хвалили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8. </w:t>
      </w:r>
      <w:proofErr w:type="gramStart"/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Социальная</w:t>
      </w:r>
      <w:proofErr w:type="gramEnd"/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позиционный мотив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одноклассники уважали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у нас в школе хорошие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хочу, чтобы меня уважали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 хочу быть в классе последним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Негативное отношение к учению и школе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хочется учиться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люблю учиться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нравится учиться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оцени степень своего согласия с этими утверждениями по 4-балльной шкале: 4 – совершенно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3 – скорее согласен, 2 – скорее не согласен, 1 – не согласен.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быть отличником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родители не ругали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потому что учиться интересно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получить знания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в будущем приносить людям пользу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потом продолжить образование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в дальнейшем хорошо зарабатывать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одноклассники уважали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 учиться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хорошо закончить школу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потому что этого требуют учителя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потому что на уроках я узнаю много нового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развивать ум и способности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потому что хорошо учиться – долг каждого ученика перед обществом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получить интересную профессию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  чтобы получить подарок за хорошую учебу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учусь,  потому что у нас в школе хорошие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хочу, чтобы меня уважали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люблю учиться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получать хорошие отметки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учусь, чтобы сделать родителям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потому что в школе я получаю ответы на интересующие меня вопросы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стать образованным человеком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потому что учение самое важное и нужное дело в моей жизни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в будущем найти хорошую работу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учусь, чтобы меня хвалили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учусь, потому что не хочу быть в классе последним</w:t>
      </w:r>
    </w:p>
    <w:p w:rsidR="00215676" w:rsidRPr="00215676" w:rsidRDefault="00215676" w:rsidP="00215676">
      <w:pPr>
        <w:numPr>
          <w:ilvl w:val="0"/>
          <w:numId w:val="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нравится учиться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оценивания: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результатов: подсчитывается количество 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Интегративные шкалы: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суммируются баллы по шкалам (3 познавательная +4 учебная).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   – суммируются баллы по шкалам (5 широкие социальные мотивы +6 перспектива самоопределения социального и профессионального).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мотивация – суммируются баллы по шкалам (1 отметка + 7 </w:t>
      </w: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прагматический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стремление к  одобрению – суммируются баллы по шкалам  (2 требования авторитетных лиц +8 позиционный)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школе – 9.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Уровни:</w:t>
      </w: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оценивается мотивационный профиль.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пик на шкале «негативное отношение к школе»,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пики неадекватной мотивации (внешняя, социальная – одобрение)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нет явного преобладания шкал, выражены учебно-познавательная и социальная шкалы.</w:t>
      </w:r>
    </w:p>
    <w:p w:rsidR="00215676" w:rsidRPr="00215676" w:rsidRDefault="00215676" w:rsidP="00215676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пики учебно-познавательной и социальной мотивации. Низкие показатели негативного отношения к школе.</w:t>
      </w:r>
    </w:p>
    <w:p w:rsid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Таблица, применяемая для подсчета результатов.</w:t>
      </w:r>
    </w:p>
    <w:tbl>
      <w:tblPr>
        <w:tblW w:w="8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9"/>
        <w:gridCol w:w="477"/>
        <w:gridCol w:w="369"/>
        <w:gridCol w:w="420"/>
        <w:gridCol w:w="420"/>
        <w:gridCol w:w="437"/>
        <w:gridCol w:w="413"/>
        <w:gridCol w:w="425"/>
        <w:gridCol w:w="426"/>
        <w:gridCol w:w="412"/>
        <w:gridCol w:w="419"/>
        <w:gridCol w:w="419"/>
        <w:gridCol w:w="419"/>
        <w:gridCol w:w="419"/>
        <w:gridCol w:w="419"/>
        <w:gridCol w:w="421"/>
      </w:tblGrid>
      <w:tr w:rsidR="00AF6FBA" w:rsidRPr="00BE3AB6" w:rsidTr="00AF6FBA">
        <w:trPr>
          <w:trHeight w:val="415"/>
        </w:trPr>
        <w:tc>
          <w:tcPr>
            <w:tcW w:w="1899" w:type="dxa"/>
            <w:vMerge w:val="restart"/>
          </w:tcPr>
          <w:p w:rsidR="00AF6FBA" w:rsidRPr="00BE3AB6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  <w:proofErr w:type="spellStart"/>
            <w:r w:rsidRPr="00BE3AB6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E3AB6">
              <w:rPr>
                <w:rFonts w:ascii="Times New Roman" w:hAnsi="Times New Roman"/>
                <w:b/>
                <w:sz w:val="20"/>
                <w:szCs w:val="20"/>
              </w:rPr>
              <w:t xml:space="preserve"> универсальных учебных действий</w:t>
            </w:r>
          </w:p>
        </w:tc>
        <w:tc>
          <w:tcPr>
            <w:tcW w:w="631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BA" w:rsidRPr="00BE3AB6" w:rsidRDefault="00AF6FBA">
            <w:r>
              <w:t xml:space="preserve">Фамилия, имя учащегося </w:t>
            </w:r>
          </w:p>
        </w:tc>
      </w:tr>
      <w:tr w:rsidR="00AF6FBA" w:rsidRPr="00BE3AB6" w:rsidTr="00AF6FBA">
        <w:trPr>
          <w:cantSplit/>
          <w:trHeight w:val="2118"/>
        </w:trPr>
        <w:tc>
          <w:tcPr>
            <w:tcW w:w="1899" w:type="dxa"/>
            <w:vMerge/>
          </w:tcPr>
          <w:p w:rsidR="00AF6FBA" w:rsidRPr="00BE3AB6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AF6FBA" w:rsidRPr="009309C9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extDirection w:val="btLr"/>
          </w:tcPr>
          <w:p w:rsidR="00AF6FBA" w:rsidRPr="00753504" w:rsidRDefault="00AF6FBA" w:rsidP="009D16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FBA" w:rsidRPr="00CD47C7" w:rsidTr="00AF6FBA">
        <w:trPr>
          <w:trHeight w:val="562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AB6">
              <w:rPr>
                <w:rFonts w:ascii="Times New Roman" w:hAnsi="Times New Roman"/>
                <w:b/>
                <w:sz w:val="24"/>
                <w:szCs w:val="24"/>
              </w:rPr>
              <w:t>1.Сформированность</w:t>
            </w:r>
          </w:p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sz w:val="24"/>
                <w:szCs w:val="24"/>
              </w:rPr>
              <w:t>личностных УУД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441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1.1Сформированность учебно-познавательного интереса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405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1.2 Принятие и соблюдение норм школьного поведения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270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1.3 Самооценка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37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1.4 Нравственно-этическая ориентация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224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1.5 Эмоциональная отзывчивость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276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Высокий уровень- (8-10б.)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276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Средний уровень- (4-7б.)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276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Низкий уровень- (1-3б.)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BE3AB6">
              <w:rPr>
                <w:rFonts w:ascii="Times New Roman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2.</w:t>
            </w:r>
            <w:r w:rsidRPr="00BE3AB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Сформированность регулятивных УУД</w:t>
            </w:r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CD47C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2.1 Действие </w:t>
            </w:r>
            <w:proofErr w:type="spellStart"/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целеполагания</w:t>
            </w:r>
            <w:proofErr w:type="spellEnd"/>
          </w:p>
        </w:tc>
        <w:tc>
          <w:tcPr>
            <w:tcW w:w="47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CD47C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2.2 Действие планирования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  <w:r w:rsidRPr="00BE3AB6">
              <w:rPr>
                <w:rFonts w:ascii="Times New Roman" w:hAnsi="Times New Roman"/>
                <w:bCs/>
                <w:sz w:val="20"/>
                <w:szCs w:val="20"/>
              </w:rPr>
              <w:t>Действия контроля и коррекции</w:t>
            </w:r>
            <w:r w:rsidRPr="00BE3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2.4 Действие оценки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>2.5Саморегуляция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Высокий уровень- (8-10б.)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Средний уровень- (4-7б.)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Низкий уровень- (1-3б.)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BE3AB6">
              <w:rPr>
                <w:rFonts w:ascii="Times New Roman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 xml:space="preserve">3.Сформированность познавательных УУД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>3.1Умение добывать новые знания,</w:t>
            </w:r>
            <w:r w:rsidRPr="00BE3AB6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находить ответы на вопросы, используя учебник и информацию, полученную на уроке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3.2Умение отличать известное от неизвестного в ситуации, специально созданной учителем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3.3Умение делать выводы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3.4Анализ объектов с целью выделения существенных  признаков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3.5Группировка и классификация объектов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lastRenderedPageBreak/>
              <w:t xml:space="preserve">3.6Установление причинно-следственных связей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>3.7Умение выявить аналогии на предметном материале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3.8Умение использовать знаково-символические средства для создания моделей и схем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Высокий уровень- (8-10б.)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Средний уровень- (4-7б.)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Низкий уровень- (1-3б.)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BE3AB6">
              <w:rPr>
                <w:rFonts w:ascii="Times New Roman" w:hAnsi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4.Сформированность коммуникативных УУД</w:t>
            </w: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4.1Умение работать в паре и группе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4.2Умение оформлять свою мысль в устной речи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4.3Умение выразительно читать и пересказывать текст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4.4Сформированность норм в общении с детьми и взрослыми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4.5Умение выполнять различные социальные роли в группе (лидера, исполнителя, оппонента др.) в соответствии с задачами учебной деятельности 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Высокий уровень- (8-10б.)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19" w:type="dxa"/>
          </w:tcPr>
          <w:p w:rsidR="00AF6FBA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FBA" w:rsidRPr="005B58D7" w:rsidRDefault="00AF6FBA" w:rsidP="009D1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Средний уровень- (4-7б.)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FBA" w:rsidRPr="005B58D7" w:rsidTr="00AF6FBA">
        <w:trPr>
          <w:trHeight w:val="313"/>
        </w:trPr>
        <w:tc>
          <w:tcPr>
            <w:tcW w:w="1899" w:type="dxa"/>
          </w:tcPr>
          <w:p w:rsidR="00AF6FBA" w:rsidRPr="00BE3AB6" w:rsidRDefault="00AF6FBA" w:rsidP="009D16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BE3AB6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Низкий уровень- (1-3б.)</w:t>
            </w:r>
          </w:p>
        </w:tc>
        <w:tc>
          <w:tcPr>
            <w:tcW w:w="47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F6FBA" w:rsidRPr="005B58D7" w:rsidRDefault="00AF6FBA" w:rsidP="009D1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676" w:rsidRPr="00215676" w:rsidRDefault="00215676" w:rsidP="002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76" w:rsidRDefault="00AF6FBA" w:rsidP="000949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Итоговая таблица:</w:t>
      </w:r>
    </w:p>
    <w:p w:rsidR="00AF6FBA" w:rsidRPr="009E152D" w:rsidRDefault="00AF6FBA" w:rsidP="000949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992"/>
        <w:gridCol w:w="851"/>
        <w:gridCol w:w="850"/>
        <w:gridCol w:w="830"/>
        <w:gridCol w:w="871"/>
        <w:gridCol w:w="709"/>
        <w:gridCol w:w="709"/>
        <w:gridCol w:w="709"/>
        <w:gridCol w:w="709"/>
        <w:gridCol w:w="709"/>
        <w:gridCol w:w="709"/>
      </w:tblGrid>
      <w:tr w:rsidR="000949CD" w:rsidRPr="009E152D" w:rsidTr="00993BF1">
        <w:tc>
          <w:tcPr>
            <w:tcW w:w="1844" w:type="dxa"/>
            <w:vMerge w:val="restart"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умения и личностные качества</w:t>
            </w:r>
          </w:p>
        </w:tc>
        <w:tc>
          <w:tcPr>
            <w:tcW w:w="992" w:type="dxa"/>
            <w:vMerge w:val="restart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Уровни </w:t>
            </w:r>
          </w:p>
        </w:tc>
        <w:tc>
          <w:tcPr>
            <w:tcW w:w="1701" w:type="dxa"/>
            <w:gridSpan w:val="2"/>
          </w:tcPr>
          <w:p w:rsidR="003D79B0" w:rsidRDefault="003D79B0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 уч-ся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gridSpan w:val="2"/>
          </w:tcPr>
          <w:p w:rsidR="000949CD" w:rsidRDefault="003D79B0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3D79B0" w:rsidRPr="009E152D" w:rsidRDefault="003D79B0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 уч-ся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gridSpan w:val="2"/>
          </w:tcPr>
          <w:p w:rsidR="000949CD" w:rsidRDefault="003D79B0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3D79B0" w:rsidRPr="009E152D" w:rsidRDefault="003D79B0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 уч-ся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gridSpan w:val="2"/>
          </w:tcPr>
          <w:p w:rsidR="000949CD" w:rsidRDefault="003D79B0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3D79B0" w:rsidRPr="009E152D" w:rsidRDefault="003D79B0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уч-ся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gridSpan w:val="2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128 уч-ся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949CD" w:rsidRPr="009E152D" w:rsidTr="00993BF1">
        <w:trPr>
          <w:trHeight w:val="275"/>
        </w:trPr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0949CD" w:rsidRPr="009E152D" w:rsidTr="00993BF1">
        <w:tc>
          <w:tcPr>
            <w:tcW w:w="1844" w:type="dxa"/>
            <w:vMerge w:val="restart"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31,75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55,25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949CD" w:rsidRPr="009E152D" w:rsidTr="00993BF1">
        <w:tc>
          <w:tcPr>
            <w:tcW w:w="1844" w:type="dxa"/>
            <w:vMerge w:val="restart"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16,25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949CD" w:rsidRPr="009E152D" w:rsidTr="00993BF1">
        <w:tc>
          <w:tcPr>
            <w:tcW w:w="1844" w:type="dxa"/>
            <w:vMerge w:val="restart"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39,25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39,25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</w:tr>
      <w:tr w:rsidR="000949CD" w:rsidRPr="009E152D" w:rsidTr="00993BF1">
        <w:tc>
          <w:tcPr>
            <w:tcW w:w="1844" w:type="dxa"/>
            <w:vMerge w:val="restart"/>
          </w:tcPr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0949CD" w:rsidRPr="009E152D" w:rsidRDefault="000949CD" w:rsidP="00993BF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выше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среднего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40,75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43,75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ниже</w:t>
            </w:r>
          </w:p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среднего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49CD" w:rsidRPr="009E152D" w:rsidTr="00993BF1">
        <w:tc>
          <w:tcPr>
            <w:tcW w:w="1844" w:type="dxa"/>
            <w:vMerge/>
          </w:tcPr>
          <w:p w:rsidR="000949CD" w:rsidRPr="009E152D" w:rsidRDefault="000949CD" w:rsidP="00993BF1">
            <w:pPr>
              <w:ind w:left="3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85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1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949CD" w:rsidRPr="009E152D" w:rsidRDefault="000949CD" w:rsidP="00993B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1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F6FBA" w:rsidRDefault="00AF6FBA" w:rsidP="000949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6FBA" w:rsidRDefault="00AF6FBA" w:rsidP="000949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49CD" w:rsidRPr="009E152D" w:rsidRDefault="000949CD" w:rsidP="000949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49CD" w:rsidRPr="009E152D" w:rsidSect="00D5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47E"/>
    <w:multiLevelType w:val="multilevel"/>
    <w:tmpl w:val="826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6FC"/>
    <w:multiLevelType w:val="multilevel"/>
    <w:tmpl w:val="F64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B68A0"/>
    <w:multiLevelType w:val="hybridMultilevel"/>
    <w:tmpl w:val="3590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67D78"/>
    <w:multiLevelType w:val="multilevel"/>
    <w:tmpl w:val="5D5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300D5"/>
    <w:multiLevelType w:val="multilevel"/>
    <w:tmpl w:val="5962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2269"/>
    <w:multiLevelType w:val="multilevel"/>
    <w:tmpl w:val="BB08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CD"/>
    <w:rsid w:val="00072745"/>
    <w:rsid w:val="000949CD"/>
    <w:rsid w:val="00215676"/>
    <w:rsid w:val="003D79B0"/>
    <w:rsid w:val="00653C80"/>
    <w:rsid w:val="009623D4"/>
    <w:rsid w:val="009E152D"/>
    <w:rsid w:val="00AF6FBA"/>
    <w:rsid w:val="00D52EDD"/>
    <w:rsid w:val="00D9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49C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1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15676"/>
  </w:style>
  <w:style w:type="paragraph" w:styleId="a6">
    <w:name w:val="List Paragraph"/>
    <w:basedOn w:val="a"/>
    <w:uiPriority w:val="34"/>
    <w:qFormat/>
    <w:rsid w:val="00AF6FB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49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402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dcterms:created xsi:type="dcterms:W3CDTF">2018-01-05T11:54:00Z</dcterms:created>
  <dcterms:modified xsi:type="dcterms:W3CDTF">2019-10-08T11:37:00Z</dcterms:modified>
</cp:coreProperties>
</file>